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這照片在中信中心外 </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龍匯道的休息區及醫療區中間</w:t>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龍匯道是民主陣線申請了不反對通知書</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但立法院衝擊後、大批傷者及其他市民被迫退至在民主陣線大台及救傷站位置</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但警方無視民主陣線及大量非衝擊者中投放兩棵催淚彈</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基本所有人包括我在內，都受到催淚彈傷害，並且令中信中心所有樓層充滿氣體，當中包括中心內的保安員及售貨員受催淚氣體影響</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photo is taken at CItic Tower. The location is used for providing medical care of the wounded civilans. The police, despite knowing that the people there are injured and have no intention to resist, still used tear gas on them. The doors are locked and the people had no other way to leave.</w:t>
      </w:r>
    </w:p>
    <w:p w:rsidR="00000000" w:rsidDel="00000000" w:rsidP="00000000" w:rsidRDefault="00000000" w:rsidRPr="00000000" w14:paraId="0000000B">
      <w:pPr>
        <w:rPr/>
      </w:pPr>
      <w:r w:rsidDel="00000000" w:rsidR="00000000" w:rsidRPr="00000000">
        <w:rPr>
          <w:rtl w:val="0"/>
        </w:rPr>
        <w:t xml:space="preserve">This zone is an approved protest area which the police has issued Letter of No Objection, but still under assault of the police force.</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